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76" w:rsidRDefault="009161CE" w:rsidP="00512276">
      <w:pPr>
        <w:spacing w:after="0" w:line="240" w:lineRule="auto"/>
        <w:rPr>
          <w:rFonts w:ascii="Bookman Old Style" w:eastAsia="Times New Roman" w:hAnsi="Bookman Old Style" w:cs="Arial"/>
          <w:b/>
          <w:lang w:val="nl-NL"/>
        </w:rPr>
      </w:pPr>
      <w:bookmarkStart w:id="0" w:name="_GoBack"/>
      <w:bookmarkEnd w:id="0"/>
      <w:r>
        <w:rPr>
          <w:rFonts w:ascii="Bookman Old Style" w:eastAsia="Times New Roman" w:hAnsi="Bookman Old Style" w:cs="Arial"/>
          <w:b/>
          <w:lang w:val="nl-NL"/>
        </w:rPr>
        <w:t xml:space="preserve">TTT: </w:t>
      </w:r>
      <w:r w:rsidR="00512276">
        <w:rPr>
          <w:rFonts w:ascii="Bookman Old Style" w:eastAsia="Times New Roman" w:hAnsi="Bookman Old Style" w:cs="Arial"/>
          <w:b/>
          <w:lang w:val="nl-NL"/>
        </w:rPr>
        <w:t>Competentiegericht opleiden in de klinische context : reflectie en diversiteit</w:t>
      </w:r>
    </w:p>
    <w:p w:rsidR="00512276" w:rsidRPr="00445AFB" w:rsidRDefault="00512276" w:rsidP="00512276">
      <w:pPr>
        <w:spacing w:after="0" w:line="240" w:lineRule="auto"/>
        <w:rPr>
          <w:rFonts w:ascii="Bookman Old Style" w:eastAsia="Times New Roman" w:hAnsi="Bookman Old Style" w:cs="Arial"/>
          <w:b/>
          <w:lang w:val="nl-NL"/>
        </w:rPr>
      </w:pPr>
    </w:p>
    <w:p w:rsidR="00512276" w:rsidRDefault="00512276" w:rsidP="00512276">
      <w:pPr>
        <w:spacing w:after="0" w:line="240" w:lineRule="auto"/>
        <w:rPr>
          <w:rFonts w:ascii="Bookman Old Style" w:eastAsia="Times New Roman" w:hAnsi="Bookman Old Style" w:cs="Arial"/>
          <w:lang w:val="nl-NL"/>
        </w:rPr>
      </w:pPr>
      <w:r w:rsidRPr="00445AFB">
        <w:rPr>
          <w:rFonts w:ascii="Bookman Old Style" w:eastAsia="Times New Roman" w:hAnsi="Bookman Old Style" w:cs="Arial"/>
          <w:lang w:val="nl-NL"/>
        </w:rPr>
        <w:t xml:space="preserve">Competentie Profiel </w:t>
      </w:r>
      <w:r>
        <w:rPr>
          <w:rFonts w:ascii="Bookman Old Style" w:eastAsia="Times New Roman" w:hAnsi="Bookman Old Style" w:cs="Arial"/>
          <w:lang w:val="nl-NL"/>
        </w:rPr>
        <w:t>1.3, 1.4, 2.3</w:t>
      </w:r>
    </w:p>
    <w:p w:rsidR="00512276" w:rsidRPr="0004430C" w:rsidRDefault="00512276" w:rsidP="00512276">
      <w:pPr>
        <w:spacing w:after="0" w:line="240" w:lineRule="auto"/>
        <w:rPr>
          <w:rFonts w:ascii="Bookman Old Style" w:eastAsia="Times New Roman" w:hAnsi="Bookman Old Style" w:cs="Arial"/>
          <w:i/>
          <w:lang w:val="nl-NL"/>
        </w:rPr>
      </w:pPr>
      <w:r w:rsidRPr="0004430C">
        <w:rPr>
          <w:rFonts w:ascii="Bookman Old Style" w:eastAsia="Times New Roman" w:hAnsi="Bookman Old Style" w:cs="Arial"/>
          <w:i/>
          <w:lang w:val="nl-NL"/>
        </w:rPr>
        <w:t>1.3</w:t>
      </w:r>
      <w:r w:rsidRPr="0004430C">
        <w:rPr>
          <w:rFonts w:ascii="Bookman Old Style" w:eastAsia="Times New Roman" w:hAnsi="Bookman Old Style" w:cs="Arial"/>
          <w:i/>
          <w:lang w:val="nl-NL"/>
        </w:rPr>
        <w:tab/>
        <w:t>Past principes van constructief feedback geven toe</w:t>
      </w:r>
    </w:p>
    <w:p w:rsidR="00512276" w:rsidRDefault="00512276" w:rsidP="00512276">
      <w:pPr>
        <w:spacing w:after="0" w:line="240" w:lineRule="auto"/>
        <w:rPr>
          <w:rFonts w:ascii="Bookman Old Style" w:eastAsia="Times New Roman" w:hAnsi="Bookman Old Style" w:cs="Arial"/>
          <w:i/>
          <w:lang w:val="nl-NL"/>
        </w:rPr>
      </w:pPr>
      <w:r w:rsidRPr="0004430C">
        <w:rPr>
          <w:rFonts w:ascii="Bookman Old Style" w:eastAsia="Times New Roman" w:hAnsi="Bookman Old Style" w:cs="Arial"/>
          <w:i/>
          <w:lang w:val="nl-NL"/>
        </w:rPr>
        <w:t>1.4</w:t>
      </w:r>
      <w:r w:rsidRPr="0004430C">
        <w:rPr>
          <w:rFonts w:ascii="Bookman Old Style" w:eastAsia="Times New Roman" w:hAnsi="Bookman Old Style" w:cs="Arial"/>
          <w:i/>
          <w:lang w:val="nl-NL"/>
        </w:rPr>
        <w:tab/>
        <w:t>Geeft weloverwogen beoordelingen aan aios</w:t>
      </w:r>
    </w:p>
    <w:p w:rsidR="00512276" w:rsidRPr="0004430C" w:rsidRDefault="00512276" w:rsidP="00512276">
      <w:pPr>
        <w:spacing w:after="0" w:line="240" w:lineRule="auto"/>
        <w:rPr>
          <w:rFonts w:ascii="Bookman Old Style" w:eastAsia="Times New Roman" w:hAnsi="Bookman Old Style" w:cs="Arial"/>
          <w:i/>
          <w:lang w:val="nl-NL"/>
        </w:rPr>
      </w:pPr>
      <w:r>
        <w:rPr>
          <w:rFonts w:ascii="Bookman Old Style" w:eastAsia="Times New Roman" w:hAnsi="Bookman Old Style" w:cs="Arial"/>
          <w:i/>
          <w:lang w:val="nl-NL"/>
        </w:rPr>
        <w:t>1.6</w:t>
      </w:r>
      <w:r>
        <w:rPr>
          <w:rFonts w:ascii="Bookman Old Style" w:eastAsia="Times New Roman" w:hAnsi="Bookman Old Style" w:cs="Arial"/>
          <w:i/>
          <w:lang w:val="nl-NL"/>
        </w:rPr>
        <w:tab/>
        <w:t>Reflecteert systematisch op eigen manier van begeleiden/opleiden</w:t>
      </w:r>
    </w:p>
    <w:p w:rsidR="00512276" w:rsidRDefault="00512276" w:rsidP="00512276">
      <w:pPr>
        <w:spacing w:after="0" w:line="240" w:lineRule="auto"/>
        <w:rPr>
          <w:rFonts w:ascii="Bookman Old Style" w:eastAsia="Times New Roman" w:hAnsi="Bookman Old Style" w:cs="Arial"/>
          <w:i/>
          <w:lang w:val="nl-NL"/>
        </w:rPr>
      </w:pPr>
      <w:r w:rsidRPr="0004430C">
        <w:rPr>
          <w:rFonts w:ascii="Bookman Old Style" w:eastAsia="Times New Roman" w:hAnsi="Bookman Old Style" w:cs="Arial"/>
          <w:i/>
          <w:lang w:val="nl-NL"/>
        </w:rPr>
        <w:t>2.3</w:t>
      </w:r>
      <w:r w:rsidRPr="0004430C">
        <w:rPr>
          <w:rFonts w:ascii="Bookman Old Style" w:eastAsia="Times New Roman" w:hAnsi="Bookman Old Style" w:cs="Arial"/>
          <w:i/>
          <w:lang w:val="nl-NL"/>
        </w:rPr>
        <w:tab/>
        <w:t>Geeft de aios constructief feedback op diens taakvervulling</w:t>
      </w:r>
    </w:p>
    <w:p w:rsidR="004E47E5" w:rsidRDefault="004E47E5" w:rsidP="00512276">
      <w:pPr>
        <w:spacing w:after="0" w:line="240" w:lineRule="auto"/>
        <w:rPr>
          <w:rFonts w:ascii="Bookman Old Style" w:eastAsia="Times New Roman" w:hAnsi="Bookman Old Style" w:cs="Arial"/>
          <w:i/>
          <w:lang w:val="nl-NL"/>
        </w:rPr>
      </w:pPr>
    </w:p>
    <w:p w:rsidR="004E47E5" w:rsidRDefault="004E47E5" w:rsidP="00512276">
      <w:pPr>
        <w:spacing w:after="0" w:line="240" w:lineRule="auto"/>
        <w:rPr>
          <w:rFonts w:ascii="Bookman Old Style" w:eastAsia="Times New Roman" w:hAnsi="Bookman Old Style" w:cs="Arial"/>
          <w:lang w:val="nl-NL"/>
        </w:rPr>
      </w:pPr>
      <w:r w:rsidRPr="004E47E5">
        <w:rPr>
          <w:rFonts w:ascii="Bookman Old Style" w:eastAsia="Times New Roman" w:hAnsi="Bookman Old Style" w:cs="Arial"/>
          <w:lang w:val="nl-NL"/>
        </w:rPr>
        <w:t xml:space="preserve">Voor accreditatie gala: </w:t>
      </w:r>
    </w:p>
    <w:p w:rsidR="004E47E5" w:rsidRDefault="004E47E5" w:rsidP="00512276">
      <w:pPr>
        <w:spacing w:after="0" w:line="240" w:lineRule="auto"/>
        <w:rPr>
          <w:rFonts w:ascii="Bookman Old Style" w:eastAsia="Times New Roman" w:hAnsi="Bookman Old Style" w:cs="Arial"/>
          <w:lang w:val="nl-NL"/>
        </w:rPr>
      </w:pPr>
      <w:r>
        <w:rPr>
          <w:rFonts w:ascii="Bookman Old Style" w:eastAsia="Times New Roman" w:hAnsi="Bookman Old Style" w:cs="Arial"/>
          <w:lang w:val="nl-NL"/>
        </w:rPr>
        <w:t>40 % Communicatie</w:t>
      </w:r>
    </w:p>
    <w:p w:rsidR="004E47E5" w:rsidRDefault="004E47E5" w:rsidP="00512276">
      <w:pPr>
        <w:spacing w:after="0" w:line="240" w:lineRule="auto"/>
        <w:rPr>
          <w:rFonts w:ascii="Bookman Old Style" w:eastAsia="Times New Roman" w:hAnsi="Bookman Old Style" w:cs="Arial"/>
          <w:lang w:val="nl-NL"/>
        </w:rPr>
      </w:pPr>
      <w:r>
        <w:rPr>
          <w:rFonts w:ascii="Bookman Old Style" w:eastAsia="Times New Roman" w:hAnsi="Bookman Old Style" w:cs="Arial"/>
          <w:lang w:val="nl-NL"/>
        </w:rPr>
        <w:t>20 % Samenwerking</w:t>
      </w:r>
    </w:p>
    <w:p w:rsidR="004E47E5" w:rsidRDefault="004E47E5" w:rsidP="00512276">
      <w:pPr>
        <w:spacing w:after="0" w:line="240" w:lineRule="auto"/>
        <w:rPr>
          <w:rFonts w:ascii="Bookman Old Style" w:eastAsia="Times New Roman" w:hAnsi="Bookman Old Style" w:cs="Arial"/>
          <w:lang w:val="nl-NL"/>
        </w:rPr>
      </w:pPr>
      <w:r>
        <w:rPr>
          <w:rFonts w:ascii="Bookman Old Style" w:eastAsia="Times New Roman" w:hAnsi="Bookman Old Style" w:cs="Arial"/>
          <w:lang w:val="nl-NL"/>
        </w:rPr>
        <w:t xml:space="preserve">40 % Professionaliteit </w:t>
      </w:r>
    </w:p>
    <w:p w:rsidR="004E47E5" w:rsidRDefault="004E47E5" w:rsidP="00512276">
      <w:pPr>
        <w:spacing w:after="0" w:line="240" w:lineRule="auto"/>
        <w:rPr>
          <w:rFonts w:ascii="Bookman Old Style" w:eastAsia="Times New Roman" w:hAnsi="Bookman Old Style" w:cs="Arial"/>
          <w:lang w:val="nl-NL"/>
        </w:rPr>
      </w:pPr>
    </w:p>
    <w:p w:rsidR="004E47E5" w:rsidRPr="004E47E5" w:rsidRDefault="00FE37C3" w:rsidP="00512276">
      <w:pPr>
        <w:spacing w:after="0" w:line="240" w:lineRule="auto"/>
        <w:rPr>
          <w:rFonts w:asciiTheme="minorHAnsi" w:eastAsia="Times New Roman" w:hAnsiTheme="minorHAnsi" w:cs="Arial"/>
          <w:lang w:val="nl-NL"/>
        </w:rPr>
      </w:pPr>
      <w:r>
        <w:rPr>
          <w:rFonts w:asciiTheme="minorHAnsi" w:eastAsia="Times New Roman" w:hAnsiTheme="minorHAnsi" w:cs="Arial"/>
          <w:lang w:val="nl-NL"/>
        </w:rPr>
        <w:t>Cursuscommissie</w:t>
      </w:r>
      <w:r w:rsidR="004E47E5" w:rsidRPr="004E47E5">
        <w:rPr>
          <w:rFonts w:asciiTheme="minorHAnsi" w:eastAsia="Times New Roman" w:hAnsiTheme="minorHAnsi" w:cs="Arial"/>
          <w:lang w:val="nl-NL"/>
        </w:rPr>
        <w:t xml:space="preserve">: </w:t>
      </w:r>
    </w:p>
    <w:p w:rsidR="004E47E5" w:rsidRDefault="004E47E5" w:rsidP="00512276">
      <w:pPr>
        <w:spacing w:after="0" w:line="240" w:lineRule="auto"/>
        <w:rPr>
          <w:rFonts w:asciiTheme="minorHAnsi" w:eastAsia="Times New Roman" w:hAnsiTheme="minorHAnsi" w:cs="Arial"/>
          <w:lang w:val="nl-NL"/>
        </w:rPr>
      </w:pPr>
      <w:r w:rsidRPr="004E47E5">
        <w:rPr>
          <w:rFonts w:asciiTheme="minorHAnsi" w:eastAsia="Times New Roman" w:hAnsiTheme="minorHAnsi" w:cs="Arial"/>
          <w:lang w:val="nl-NL"/>
        </w:rPr>
        <w:tab/>
        <w:t>Beatrijs de leede: senior onderwijskundige LUMC en coach</w:t>
      </w:r>
    </w:p>
    <w:p w:rsidR="004E47E5" w:rsidRDefault="004E47E5" w:rsidP="00512276">
      <w:pPr>
        <w:spacing w:after="0" w:line="240" w:lineRule="auto"/>
        <w:rPr>
          <w:rFonts w:asciiTheme="minorHAnsi" w:eastAsia="Times New Roman" w:hAnsiTheme="minorHAnsi" w:cs="Arial"/>
          <w:lang w:val="nl-NL"/>
        </w:rPr>
      </w:pPr>
      <w:r>
        <w:rPr>
          <w:rFonts w:asciiTheme="minorHAnsi" w:eastAsia="Times New Roman" w:hAnsiTheme="minorHAnsi" w:cs="Arial"/>
          <w:lang w:val="nl-NL"/>
        </w:rPr>
        <w:tab/>
        <w:t>Thomas</w:t>
      </w:r>
      <w:r w:rsidR="00FE37C3">
        <w:rPr>
          <w:rFonts w:asciiTheme="minorHAnsi" w:eastAsia="Times New Roman" w:hAnsiTheme="minorHAnsi" w:cs="Arial"/>
          <w:lang w:val="nl-NL"/>
        </w:rPr>
        <w:t xml:space="preserve"> Rinne, psychiater en opleider NIFP</w:t>
      </w:r>
    </w:p>
    <w:p w:rsidR="00FE37C3" w:rsidRDefault="00FE37C3" w:rsidP="00512276">
      <w:pPr>
        <w:spacing w:after="0" w:line="240" w:lineRule="auto"/>
        <w:rPr>
          <w:rFonts w:asciiTheme="minorHAnsi" w:eastAsia="Times New Roman" w:hAnsiTheme="minorHAnsi" w:cs="Arial"/>
          <w:lang w:val="nl-NL"/>
        </w:rPr>
      </w:pPr>
      <w:r>
        <w:rPr>
          <w:rFonts w:asciiTheme="minorHAnsi" w:eastAsia="Times New Roman" w:hAnsiTheme="minorHAnsi" w:cs="Arial"/>
          <w:lang w:val="nl-NL"/>
        </w:rPr>
        <w:tab/>
        <w:t>Sabine Roza, psychiater en plv opleide NIFP</w:t>
      </w:r>
    </w:p>
    <w:p w:rsidR="004E47E5" w:rsidRPr="004E47E5" w:rsidRDefault="004E47E5" w:rsidP="00512276">
      <w:pPr>
        <w:spacing w:after="0" w:line="240" w:lineRule="auto"/>
        <w:rPr>
          <w:rFonts w:asciiTheme="minorHAnsi" w:eastAsia="Times New Roman" w:hAnsiTheme="minorHAnsi" w:cs="Arial"/>
          <w:b/>
          <w:lang w:val="nl-NL"/>
        </w:rPr>
      </w:pPr>
      <w:r>
        <w:rPr>
          <w:rFonts w:asciiTheme="minorHAnsi" w:eastAsia="Times New Roman" w:hAnsiTheme="minorHAnsi" w:cs="Arial"/>
          <w:lang w:val="nl-NL"/>
        </w:rPr>
        <w:tab/>
      </w:r>
    </w:p>
    <w:p w:rsidR="00030B54" w:rsidRPr="004E47E5" w:rsidRDefault="00A00B39">
      <w:pPr>
        <w:rPr>
          <w:rFonts w:asciiTheme="majorHAnsi" w:hAnsiTheme="majorHAnsi" w:cs="Arial"/>
          <w:lang w:val="nl-NL"/>
        </w:rPr>
      </w:pPr>
    </w:p>
    <w:p w:rsidR="00512276" w:rsidRPr="004E47E5" w:rsidRDefault="00512276">
      <w:pPr>
        <w:rPr>
          <w:rFonts w:asciiTheme="majorHAnsi" w:hAnsiTheme="majorHAnsi" w:cs="Arial"/>
          <w:lang w:val="nl-NL"/>
        </w:rPr>
      </w:pPr>
      <w:r w:rsidRPr="004E47E5">
        <w:rPr>
          <w:rFonts w:asciiTheme="majorHAnsi" w:hAnsiTheme="majorHAnsi" w:cs="Arial"/>
          <w:lang w:val="nl-NL"/>
        </w:rPr>
        <w:t>Doelen:</w:t>
      </w:r>
    </w:p>
    <w:p w:rsidR="00512276" w:rsidRDefault="00512276" w:rsidP="009161CE">
      <w:pPr>
        <w:spacing w:after="0"/>
        <w:ind w:left="720" w:hanging="72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 xml:space="preserve">Het </w:t>
      </w:r>
      <w:r w:rsidR="009161CE">
        <w:rPr>
          <w:lang w:val="nl-NL"/>
        </w:rPr>
        <w:t>s</w:t>
      </w:r>
      <w:r>
        <w:rPr>
          <w:lang w:val="nl-NL"/>
        </w:rPr>
        <w:t>ystematisch nabespreken van een praktijksituatie met de aios volgens de STARR-methodiek</w:t>
      </w:r>
    </w:p>
    <w:p w:rsidR="00512276" w:rsidRDefault="00512276" w:rsidP="009161CE">
      <w:pPr>
        <w:spacing w:after="0"/>
        <w:ind w:left="720" w:hanging="72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</w:r>
      <w:r w:rsidR="009161CE">
        <w:rPr>
          <w:lang w:val="nl-NL"/>
        </w:rPr>
        <w:t>Gericht reflecteren en begeleiden op de CanMed</w:t>
      </w:r>
      <w:r w:rsidR="00FE37C3">
        <w:rPr>
          <w:lang w:val="nl-NL"/>
        </w:rPr>
        <w:t>s</w:t>
      </w:r>
      <w:r w:rsidR="009161CE">
        <w:rPr>
          <w:lang w:val="nl-NL"/>
        </w:rPr>
        <w:t xml:space="preserve"> competenties en hierop leeractiviteiten formuleren </w:t>
      </w:r>
    </w:p>
    <w:p w:rsidR="009161CE" w:rsidRDefault="009161CE" w:rsidP="00512276">
      <w:pPr>
        <w:spacing w:after="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>Zien hoe meer expliciet gebruik gemaakt kan worden van rolmodellen</w:t>
      </w:r>
    </w:p>
    <w:p w:rsidR="009161CE" w:rsidRDefault="009161CE" w:rsidP="009161CE">
      <w:pPr>
        <w:spacing w:after="0"/>
        <w:ind w:left="720" w:hanging="72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>Het begeleiden van aios met een andere culturele achtergrond, bewustwording van diversiteit en normativiteit</w:t>
      </w:r>
    </w:p>
    <w:p w:rsidR="009161CE" w:rsidRDefault="009161CE" w:rsidP="009161CE">
      <w:pPr>
        <w:spacing w:after="0"/>
        <w:ind w:left="720" w:hanging="720"/>
        <w:rPr>
          <w:lang w:val="nl-NL"/>
        </w:rPr>
      </w:pPr>
    </w:p>
    <w:p w:rsidR="009161CE" w:rsidRDefault="009161CE" w:rsidP="009161CE">
      <w:pPr>
        <w:spacing w:after="0"/>
        <w:ind w:left="720" w:hanging="720"/>
        <w:rPr>
          <w:lang w:val="nl-NL"/>
        </w:rPr>
      </w:pPr>
      <w:r>
        <w:rPr>
          <w:lang w:val="nl-NL"/>
        </w:rPr>
        <w:t>Programma</w:t>
      </w:r>
      <w:r w:rsidR="00986B7E">
        <w:rPr>
          <w:lang w:val="nl-NL"/>
        </w:rPr>
        <w:t xml:space="preserve"> globaal:</w:t>
      </w:r>
    </w:p>
    <w:p w:rsidR="009161CE" w:rsidRDefault="009161CE" w:rsidP="009161CE">
      <w:pPr>
        <w:spacing w:after="0"/>
        <w:ind w:left="720"/>
        <w:rPr>
          <w:lang w:val="nl-NL"/>
        </w:rPr>
      </w:pPr>
      <w:r>
        <w:rPr>
          <w:lang w:val="nl-NL"/>
        </w:rPr>
        <w:t>In deze workshop wordt aandacht besteed aan het systematisch begeleiden van aios, passend bij de fase van de opleiding.</w:t>
      </w:r>
    </w:p>
    <w:p w:rsidR="009161CE" w:rsidRDefault="009161CE" w:rsidP="009161CE">
      <w:pPr>
        <w:spacing w:after="0"/>
        <w:ind w:left="720"/>
        <w:rPr>
          <w:lang w:val="nl-NL"/>
        </w:rPr>
      </w:pPr>
      <w:r>
        <w:rPr>
          <w:lang w:val="nl-NL"/>
        </w:rPr>
        <w:t xml:space="preserve">Hierbij wordt gewerkt met een model om  systematisch situaties na te bespreken  waar u als supervisor/ opleider niet bij was , maar wel achteraf bespreekt en de aios wil laten reflecteren op het handelen. </w:t>
      </w:r>
    </w:p>
    <w:p w:rsidR="009161CE" w:rsidRDefault="009161CE" w:rsidP="009161CE">
      <w:pPr>
        <w:spacing w:after="0"/>
        <w:ind w:left="720"/>
        <w:rPr>
          <w:lang w:val="nl-NL"/>
        </w:rPr>
      </w:pPr>
      <w:r>
        <w:rPr>
          <w:lang w:val="nl-NL"/>
        </w:rPr>
        <w:t xml:space="preserve">Het tweede deel van de middag staat in het teken van opleiden en diversiteit. </w:t>
      </w:r>
    </w:p>
    <w:p w:rsidR="009161CE" w:rsidRDefault="009161CE" w:rsidP="009161CE">
      <w:pPr>
        <w:spacing w:after="0"/>
        <w:ind w:left="720"/>
        <w:rPr>
          <w:lang w:val="nl-NL"/>
        </w:rPr>
      </w:pPr>
      <w:r>
        <w:rPr>
          <w:lang w:val="nl-NL"/>
        </w:rPr>
        <w:t xml:space="preserve">Aan de hand van een model wordt besproken hoe impliciete (culturele)  opvattingen  </w:t>
      </w:r>
      <w:r w:rsidR="00986B7E">
        <w:rPr>
          <w:lang w:val="nl-NL"/>
        </w:rPr>
        <w:t>geëxpliciteerd</w:t>
      </w:r>
      <w:r>
        <w:rPr>
          <w:lang w:val="nl-NL"/>
        </w:rPr>
        <w:t xml:space="preserve"> kunnen worden. Tevens worden de dilemma’s en grenzen </w:t>
      </w:r>
      <w:r w:rsidR="00986B7E">
        <w:rPr>
          <w:lang w:val="nl-NL"/>
        </w:rPr>
        <w:t>besproken</w:t>
      </w:r>
      <w:r>
        <w:rPr>
          <w:lang w:val="nl-NL"/>
        </w:rPr>
        <w:t xml:space="preserve"> van </w:t>
      </w:r>
      <w:r w:rsidR="00986B7E">
        <w:rPr>
          <w:lang w:val="nl-NL"/>
        </w:rPr>
        <w:t>de diversiteit binnen een beroepscontext en hoe hier mee om te gaan in opleidingssituaties.</w:t>
      </w:r>
    </w:p>
    <w:p w:rsidR="00986B7E" w:rsidRDefault="00986B7E" w:rsidP="009161CE">
      <w:pPr>
        <w:spacing w:after="0"/>
        <w:ind w:left="720"/>
        <w:rPr>
          <w:lang w:val="nl-NL"/>
        </w:rPr>
      </w:pPr>
    </w:p>
    <w:p w:rsidR="00986B7E" w:rsidRDefault="00986B7E" w:rsidP="00986B7E">
      <w:pPr>
        <w:spacing w:after="0"/>
        <w:rPr>
          <w:lang w:val="nl-NL"/>
        </w:rPr>
      </w:pPr>
      <w:r>
        <w:rPr>
          <w:lang w:val="nl-NL"/>
        </w:rPr>
        <w:t xml:space="preserve">Programma opzet dagdeel:  </w:t>
      </w:r>
    </w:p>
    <w:p w:rsidR="00986B7E" w:rsidRDefault="00986B7E" w:rsidP="00986B7E">
      <w:pPr>
        <w:spacing w:after="0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86B7E" w:rsidTr="00986B7E">
        <w:tc>
          <w:tcPr>
            <w:tcW w:w="3080" w:type="dxa"/>
          </w:tcPr>
          <w:p w:rsidR="00986B7E" w:rsidRDefault="00986B7E" w:rsidP="00986B7E">
            <w:pPr>
              <w:rPr>
                <w:lang w:val="nl-NL"/>
              </w:rPr>
            </w:pPr>
            <w:r>
              <w:rPr>
                <w:lang w:val="nl-NL"/>
              </w:rPr>
              <w:t>Tijd</w:t>
            </w:r>
          </w:p>
        </w:tc>
        <w:tc>
          <w:tcPr>
            <w:tcW w:w="3081" w:type="dxa"/>
          </w:tcPr>
          <w:p w:rsidR="00986B7E" w:rsidRDefault="00986B7E" w:rsidP="00986B7E">
            <w:pPr>
              <w:rPr>
                <w:lang w:val="nl-NL"/>
              </w:rPr>
            </w:pPr>
            <w:r>
              <w:rPr>
                <w:lang w:val="nl-NL"/>
              </w:rPr>
              <w:t>Onderdeel/ doel</w:t>
            </w:r>
          </w:p>
        </w:tc>
        <w:tc>
          <w:tcPr>
            <w:tcW w:w="3081" w:type="dxa"/>
          </w:tcPr>
          <w:p w:rsidR="00986B7E" w:rsidRDefault="00986B7E" w:rsidP="00986B7E">
            <w:pPr>
              <w:rPr>
                <w:lang w:val="nl-NL"/>
              </w:rPr>
            </w:pPr>
            <w:r>
              <w:rPr>
                <w:lang w:val="nl-NL"/>
              </w:rPr>
              <w:t>Werkvorm</w:t>
            </w:r>
          </w:p>
        </w:tc>
      </w:tr>
      <w:tr w:rsidR="00986B7E" w:rsidTr="00986B7E">
        <w:trPr>
          <w:trHeight w:val="626"/>
        </w:trPr>
        <w:tc>
          <w:tcPr>
            <w:tcW w:w="3080" w:type="dxa"/>
          </w:tcPr>
          <w:p w:rsidR="00986B7E" w:rsidRDefault="00986B7E" w:rsidP="00986B7E">
            <w:pPr>
              <w:rPr>
                <w:lang w:val="nl-NL"/>
              </w:rPr>
            </w:pPr>
            <w:r>
              <w:rPr>
                <w:lang w:val="nl-NL"/>
              </w:rPr>
              <w:t>0.00 -0.10</w:t>
            </w:r>
          </w:p>
        </w:tc>
        <w:tc>
          <w:tcPr>
            <w:tcW w:w="3081" w:type="dxa"/>
          </w:tcPr>
          <w:p w:rsidR="00986B7E" w:rsidRDefault="00986B7E" w:rsidP="00986B7E">
            <w:pPr>
              <w:rPr>
                <w:lang w:val="nl-NL"/>
              </w:rPr>
            </w:pPr>
            <w:r>
              <w:rPr>
                <w:lang w:val="nl-NL"/>
              </w:rPr>
              <w:t>Kennismaking/ doelen/ programma/ verwachtingen</w:t>
            </w:r>
          </w:p>
        </w:tc>
        <w:tc>
          <w:tcPr>
            <w:tcW w:w="3081" w:type="dxa"/>
          </w:tcPr>
          <w:p w:rsidR="00986B7E" w:rsidRDefault="00986B7E" w:rsidP="00986B7E">
            <w:pPr>
              <w:rPr>
                <w:lang w:val="nl-NL"/>
              </w:rPr>
            </w:pPr>
            <w:r>
              <w:rPr>
                <w:lang w:val="nl-NL"/>
              </w:rPr>
              <w:t xml:space="preserve">Voorstellen en </w:t>
            </w:r>
          </w:p>
          <w:p w:rsidR="00986B7E" w:rsidRDefault="00986B7E" w:rsidP="00986B7E">
            <w:pPr>
              <w:rPr>
                <w:lang w:val="nl-NL"/>
              </w:rPr>
            </w:pPr>
            <w:r>
              <w:rPr>
                <w:lang w:val="nl-NL"/>
              </w:rPr>
              <w:t>Wensen op flap noteren</w:t>
            </w:r>
          </w:p>
        </w:tc>
      </w:tr>
      <w:tr w:rsidR="00986B7E" w:rsidTr="00986B7E">
        <w:tc>
          <w:tcPr>
            <w:tcW w:w="3080" w:type="dxa"/>
          </w:tcPr>
          <w:p w:rsidR="00986B7E" w:rsidRDefault="00986B7E" w:rsidP="00986B7E">
            <w:pPr>
              <w:rPr>
                <w:lang w:val="nl-NL"/>
              </w:rPr>
            </w:pPr>
            <w:r>
              <w:rPr>
                <w:lang w:val="nl-NL"/>
              </w:rPr>
              <w:t>0.10 – 0.25</w:t>
            </w:r>
          </w:p>
        </w:tc>
        <w:tc>
          <w:tcPr>
            <w:tcW w:w="3081" w:type="dxa"/>
          </w:tcPr>
          <w:p w:rsidR="00986B7E" w:rsidRDefault="00986B7E" w:rsidP="00986B7E">
            <w:pPr>
              <w:rPr>
                <w:lang w:val="nl-NL"/>
              </w:rPr>
            </w:pPr>
            <w:r>
              <w:rPr>
                <w:lang w:val="nl-NL"/>
              </w:rPr>
              <w:t>Inventariseren complexe klinische situaties</w:t>
            </w:r>
          </w:p>
        </w:tc>
        <w:tc>
          <w:tcPr>
            <w:tcW w:w="3081" w:type="dxa"/>
          </w:tcPr>
          <w:p w:rsidR="00986B7E" w:rsidRDefault="00986B7E" w:rsidP="00986B7E">
            <w:pPr>
              <w:rPr>
                <w:lang w:val="nl-NL"/>
              </w:rPr>
            </w:pPr>
            <w:r>
              <w:rPr>
                <w:lang w:val="nl-NL"/>
              </w:rPr>
              <w:t xml:space="preserve">Subgroepen op flap situaties beschrijven die lastig zijn/ </w:t>
            </w:r>
            <w:r>
              <w:rPr>
                <w:lang w:val="nl-NL"/>
              </w:rPr>
              <w:lastRenderedPageBreak/>
              <w:t>onvoldoende worden nabesproken / terugkoppelen</w:t>
            </w:r>
          </w:p>
        </w:tc>
      </w:tr>
      <w:tr w:rsidR="00986B7E" w:rsidTr="00986B7E">
        <w:tc>
          <w:tcPr>
            <w:tcW w:w="3080" w:type="dxa"/>
          </w:tcPr>
          <w:p w:rsidR="00986B7E" w:rsidRDefault="00986B7E" w:rsidP="00986B7E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0.25 – 0.45</w:t>
            </w:r>
          </w:p>
        </w:tc>
        <w:tc>
          <w:tcPr>
            <w:tcW w:w="3081" w:type="dxa"/>
          </w:tcPr>
          <w:p w:rsidR="00986B7E" w:rsidRDefault="00986B7E" w:rsidP="00986B7E">
            <w:pPr>
              <w:rPr>
                <w:lang w:val="nl-NL"/>
              </w:rPr>
            </w:pPr>
            <w:r>
              <w:rPr>
                <w:lang w:val="nl-NL"/>
              </w:rPr>
              <w:t xml:space="preserve"> Uitleggen systematiek STARR  model en verdiepende vragen</w:t>
            </w:r>
          </w:p>
        </w:tc>
        <w:tc>
          <w:tcPr>
            <w:tcW w:w="3081" w:type="dxa"/>
          </w:tcPr>
          <w:p w:rsidR="00986B7E" w:rsidRDefault="00986B7E" w:rsidP="00986B7E">
            <w:pPr>
              <w:rPr>
                <w:lang w:val="nl-NL"/>
              </w:rPr>
            </w:pPr>
            <w:r>
              <w:rPr>
                <w:lang w:val="nl-NL"/>
              </w:rPr>
              <w:t>PP en interactieve presentatie en demo</w:t>
            </w:r>
          </w:p>
        </w:tc>
      </w:tr>
      <w:tr w:rsidR="00986B7E" w:rsidTr="00986B7E">
        <w:tc>
          <w:tcPr>
            <w:tcW w:w="3080" w:type="dxa"/>
          </w:tcPr>
          <w:p w:rsidR="00986B7E" w:rsidRDefault="00986B7E" w:rsidP="00986B7E">
            <w:pPr>
              <w:rPr>
                <w:lang w:val="nl-NL"/>
              </w:rPr>
            </w:pPr>
            <w:r>
              <w:rPr>
                <w:lang w:val="nl-NL"/>
              </w:rPr>
              <w:t>0.45 – 1.15</w:t>
            </w:r>
          </w:p>
        </w:tc>
        <w:tc>
          <w:tcPr>
            <w:tcW w:w="3081" w:type="dxa"/>
          </w:tcPr>
          <w:p w:rsidR="00986B7E" w:rsidRDefault="00986B7E" w:rsidP="00986B7E">
            <w:pPr>
              <w:rPr>
                <w:lang w:val="nl-NL"/>
              </w:rPr>
            </w:pPr>
            <w:r>
              <w:rPr>
                <w:lang w:val="nl-NL"/>
              </w:rPr>
              <w:t xml:space="preserve">Oefenen  met situaties van flap en STARR </w:t>
            </w:r>
          </w:p>
        </w:tc>
        <w:tc>
          <w:tcPr>
            <w:tcW w:w="3081" w:type="dxa"/>
          </w:tcPr>
          <w:p w:rsidR="00986B7E" w:rsidRDefault="00986B7E" w:rsidP="00986B7E">
            <w:pPr>
              <w:rPr>
                <w:lang w:val="nl-NL"/>
              </w:rPr>
            </w:pPr>
            <w:r>
              <w:rPr>
                <w:lang w:val="nl-NL"/>
              </w:rPr>
              <w:t>In subgroepen, met observant</w:t>
            </w:r>
          </w:p>
          <w:p w:rsidR="00986B7E" w:rsidRDefault="00986B7E" w:rsidP="00986B7E">
            <w:pPr>
              <w:rPr>
                <w:lang w:val="nl-NL"/>
              </w:rPr>
            </w:pPr>
            <w:r>
              <w:rPr>
                <w:lang w:val="nl-NL"/>
              </w:rPr>
              <w:t>Kort terugkoppelen</w:t>
            </w:r>
          </w:p>
        </w:tc>
      </w:tr>
      <w:tr w:rsidR="00986B7E" w:rsidTr="00986B7E">
        <w:tc>
          <w:tcPr>
            <w:tcW w:w="3080" w:type="dxa"/>
          </w:tcPr>
          <w:p w:rsidR="00986B7E" w:rsidRDefault="00986B7E" w:rsidP="00986B7E">
            <w:pPr>
              <w:rPr>
                <w:lang w:val="nl-NL"/>
              </w:rPr>
            </w:pPr>
            <w:r>
              <w:rPr>
                <w:lang w:val="nl-NL"/>
              </w:rPr>
              <w:t>1.15 – 1.30</w:t>
            </w:r>
          </w:p>
        </w:tc>
        <w:tc>
          <w:tcPr>
            <w:tcW w:w="3081" w:type="dxa"/>
          </w:tcPr>
          <w:p w:rsidR="00986B7E" w:rsidRDefault="00986B7E" w:rsidP="00986B7E">
            <w:pPr>
              <w:rPr>
                <w:lang w:val="nl-NL"/>
              </w:rPr>
            </w:pPr>
            <w:r>
              <w:rPr>
                <w:lang w:val="nl-NL"/>
              </w:rPr>
              <w:t>pauze</w:t>
            </w:r>
          </w:p>
        </w:tc>
        <w:tc>
          <w:tcPr>
            <w:tcW w:w="3081" w:type="dxa"/>
          </w:tcPr>
          <w:p w:rsidR="00986B7E" w:rsidRDefault="00986B7E" w:rsidP="00986B7E">
            <w:pPr>
              <w:rPr>
                <w:lang w:val="nl-NL"/>
              </w:rPr>
            </w:pPr>
          </w:p>
        </w:tc>
      </w:tr>
      <w:tr w:rsidR="00986B7E" w:rsidTr="00986B7E">
        <w:tc>
          <w:tcPr>
            <w:tcW w:w="3080" w:type="dxa"/>
          </w:tcPr>
          <w:p w:rsidR="00986B7E" w:rsidRDefault="00986B7E" w:rsidP="00986B7E">
            <w:pPr>
              <w:rPr>
                <w:lang w:val="nl-NL"/>
              </w:rPr>
            </w:pPr>
            <w:r>
              <w:rPr>
                <w:lang w:val="nl-NL"/>
              </w:rPr>
              <w:t>1.30 – 1.</w:t>
            </w:r>
            <w:r w:rsidR="004E47E5">
              <w:rPr>
                <w:lang w:val="nl-NL"/>
              </w:rPr>
              <w:t>45</w:t>
            </w:r>
          </w:p>
        </w:tc>
        <w:tc>
          <w:tcPr>
            <w:tcW w:w="3081" w:type="dxa"/>
          </w:tcPr>
          <w:p w:rsidR="00986B7E" w:rsidRDefault="004E47E5" w:rsidP="00986B7E">
            <w:pPr>
              <w:rPr>
                <w:lang w:val="nl-NL"/>
              </w:rPr>
            </w:pPr>
            <w:r>
              <w:rPr>
                <w:lang w:val="nl-NL"/>
              </w:rPr>
              <w:t>Diversiteit van aios: knelpunten inventarisatie</w:t>
            </w:r>
          </w:p>
        </w:tc>
        <w:tc>
          <w:tcPr>
            <w:tcW w:w="3081" w:type="dxa"/>
          </w:tcPr>
          <w:p w:rsidR="00986B7E" w:rsidRDefault="00986B7E" w:rsidP="00986B7E">
            <w:pPr>
              <w:rPr>
                <w:lang w:val="nl-NL"/>
              </w:rPr>
            </w:pPr>
          </w:p>
        </w:tc>
      </w:tr>
      <w:tr w:rsidR="00986B7E" w:rsidTr="00986B7E">
        <w:tc>
          <w:tcPr>
            <w:tcW w:w="3080" w:type="dxa"/>
          </w:tcPr>
          <w:p w:rsidR="00986B7E" w:rsidRDefault="004E47E5" w:rsidP="004E47E5">
            <w:pPr>
              <w:rPr>
                <w:lang w:val="nl-NL"/>
              </w:rPr>
            </w:pPr>
            <w:r>
              <w:rPr>
                <w:lang w:val="nl-NL"/>
              </w:rPr>
              <w:t>1.45 – 2.10</w:t>
            </w:r>
          </w:p>
        </w:tc>
        <w:tc>
          <w:tcPr>
            <w:tcW w:w="3081" w:type="dxa"/>
          </w:tcPr>
          <w:p w:rsidR="00986B7E" w:rsidRDefault="004E47E5" w:rsidP="004E47E5">
            <w:pPr>
              <w:rPr>
                <w:lang w:val="nl-NL"/>
              </w:rPr>
            </w:pPr>
            <w:r>
              <w:rPr>
                <w:lang w:val="nl-NL"/>
              </w:rPr>
              <w:t>Dilemma’s bespreken de dilemma’s met elkaar benoemen  diversiteitsmodel</w:t>
            </w:r>
          </w:p>
        </w:tc>
        <w:tc>
          <w:tcPr>
            <w:tcW w:w="3081" w:type="dxa"/>
          </w:tcPr>
          <w:p w:rsidR="00986B7E" w:rsidRDefault="004E47E5" w:rsidP="00986B7E">
            <w:pPr>
              <w:rPr>
                <w:lang w:val="nl-NL"/>
              </w:rPr>
            </w:pPr>
            <w:r>
              <w:rPr>
                <w:lang w:val="nl-NL"/>
              </w:rPr>
              <w:t>Model op flap en voors en tegens zichtbaar maken</w:t>
            </w:r>
          </w:p>
        </w:tc>
      </w:tr>
      <w:tr w:rsidR="00986B7E" w:rsidTr="00986B7E">
        <w:tc>
          <w:tcPr>
            <w:tcW w:w="3080" w:type="dxa"/>
          </w:tcPr>
          <w:p w:rsidR="00986B7E" w:rsidRDefault="004E47E5" w:rsidP="00986B7E">
            <w:pPr>
              <w:rPr>
                <w:lang w:val="nl-NL"/>
              </w:rPr>
            </w:pPr>
            <w:r>
              <w:rPr>
                <w:lang w:val="nl-NL"/>
              </w:rPr>
              <w:t>2.10 -2.45</w:t>
            </w:r>
          </w:p>
          <w:p w:rsidR="004E47E5" w:rsidRDefault="004E47E5" w:rsidP="00986B7E">
            <w:pPr>
              <w:rPr>
                <w:lang w:val="nl-NL"/>
              </w:rPr>
            </w:pPr>
          </w:p>
          <w:p w:rsidR="004E47E5" w:rsidRDefault="004E47E5" w:rsidP="00986B7E">
            <w:pPr>
              <w:rPr>
                <w:lang w:val="nl-NL"/>
              </w:rPr>
            </w:pPr>
          </w:p>
        </w:tc>
        <w:tc>
          <w:tcPr>
            <w:tcW w:w="3081" w:type="dxa"/>
          </w:tcPr>
          <w:p w:rsidR="00986B7E" w:rsidRDefault="004E47E5" w:rsidP="004E47E5">
            <w:pPr>
              <w:rPr>
                <w:lang w:val="nl-NL"/>
              </w:rPr>
            </w:pPr>
            <w:r>
              <w:rPr>
                <w:lang w:val="nl-NL"/>
              </w:rPr>
              <w:t xml:space="preserve">ijsberg als coachmodel en oefening met vragen onder de waterlijn om  </w:t>
            </w:r>
          </w:p>
        </w:tc>
        <w:tc>
          <w:tcPr>
            <w:tcW w:w="3081" w:type="dxa"/>
          </w:tcPr>
          <w:p w:rsidR="00986B7E" w:rsidRDefault="004E47E5" w:rsidP="00986B7E">
            <w:pPr>
              <w:rPr>
                <w:lang w:val="nl-NL"/>
              </w:rPr>
            </w:pPr>
            <w:r>
              <w:rPr>
                <w:lang w:val="nl-NL"/>
              </w:rPr>
              <w:t>Beschrijvingen vanuit casuïstiek PBC gebruiken als oefenmodel</w:t>
            </w:r>
          </w:p>
        </w:tc>
      </w:tr>
      <w:tr w:rsidR="004E47E5" w:rsidTr="00986B7E">
        <w:tc>
          <w:tcPr>
            <w:tcW w:w="3080" w:type="dxa"/>
          </w:tcPr>
          <w:p w:rsidR="004E47E5" w:rsidRDefault="004E47E5" w:rsidP="00986B7E">
            <w:pPr>
              <w:rPr>
                <w:lang w:val="nl-NL"/>
              </w:rPr>
            </w:pPr>
            <w:r>
              <w:rPr>
                <w:lang w:val="nl-NL"/>
              </w:rPr>
              <w:t>2.45 -3.00</w:t>
            </w:r>
          </w:p>
        </w:tc>
        <w:tc>
          <w:tcPr>
            <w:tcW w:w="3081" w:type="dxa"/>
          </w:tcPr>
          <w:p w:rsidR="004E47E5" w:rsidRDefault="004E47E5" w:rsidP="004E47E5">
            <w:pPr>
              <w:rPr>
                <w:lang w:val="nl-NL"/>
              </w:rPr>
            </w:pPr>
            <w:r>
              <w:rPr>
                <w:lang w:val="nl-NL"/>
              </w:rPr>
              <w:t>Conclusies en evaluatie</w:t>
            </w:r>
          </w:p>
        </w:tc>
        <w:tc>
          <w:tcPr>
            <w:tcW w:w="3081" w:type="dxa"/>
          </w:tcPr>
          <w:p w:rsidR="004E47E5" w:rsidRDefault="004E47E5" w:rsidP="00986B7E">
            <w:pPr>
              <w:rPr>
                <w:lang w:val="nl-NL"/>
              </w:rPr>
            </w:pPr>
            <w:r>
              <w:rPr>
                <w:lang w:val="nl-NL"/>
              </w:rPr>
              <w:t>formulieren</w:t>
            </w:r>
          </w:p>
        </w:tc>
      </w:tr>
    </w:tbl>
    <w:p w:rsidR="00986B7E" w:rsidRPr="00512276" w:rsidRDefault="00986B7E" w:rsidP="00986B7E">
      <w:pPr>
        <w:spacing w:after="0"/>
        <w:rPr>
          <w:lang w:val="nl-NL"/>
        </w:rPr>
      </w:pPr>
    </w:p>
    <w:sectPr w:rsidR="00986B7E" w:rsidRPr="0051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76"/>
    <w:rsid w:val="0006728F"/>
    <w:rsid w:val="003E52C0"/>
    <w:rsid w:val="004E47E5"/>
    <w:rsid w:val="00512276"/>
    <w:rsid w:val="008C0F82"/>
    <w:rsid w:val="009161CE"/>
    <w:rsid w:val="0095201C"/>
    <w:rsid w:val="00986B7E"/>
    <w:rsid w:val="00A00B39"/>
    <w:rsid w:val="00E07AA2"/>
    <w:rsid w:val="00F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2276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8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2276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8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222B0E3E</Template>
  <TotalTime>0</TotalTime>
  <Pages>2</Pages>
  <Words>402</Words>
  <Characters>2216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Leede, B.J.A. de (DOO)</dc:creator>
  <cp:lastModifiedBy>Balen, van, Josée</cp:lastModifiedBy>
  <cp:revision>2</cp:revision>
  <dcterms:created xsi:type="dcterms:W3CDTF">2018-05-22T07:11:00Z</dcterms:created>
  <dcterms:modified xsi:type="dcterms:W3CDTF">2018-05-22T07:11:00Z</dcterms:modified>
</cp:coreProperties>
</file>